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Style w:val="Table"/>
        <w:tblW w:type="pct" w:w="4861"/>
        <w:tblLayout w:type="fixed"/>
        <w:tblLook w:firstRow="1" w:lastRow="1" w:firstColumn="0" w:lastColumn="0" w:noHBand="0" w:noVBand="0" w:val="0020"/>
      </w:tblPr>
      <w:tblGrid>
        <w:gridCol w:w="3080"/>
        <w:gridCol w:w="1540"/>
        <w:gridCol w:w="1540"/>
        <w:gridCol w:w="15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/>
        </w:tc>
        <w:tc>
          <w:tcPr/>
          <w:p/>
        </w:tc>
        <w:tc>
          <w:tcPr/>
          <w:p/>
        </w:tc>
      </w:tr>
      <w:tr>
        <w:tc>
          <w:tcPr/>
          <w:p>
            <w:pPr>
              <w:pStyle w:val="Compact"/>
            </w:pPr>
            <w:r>
              <w:t xml:space="preserve">log1p(conflict_firm_10km)</w:t>
            </w:r>
          </w:p>
        </w:tc>
        <w:tc>
          <w:tcPr/>
          <w:p>
            <w:pPr>
              <w:pStyle w:val="Compact"/>
            </w:pPr>
            <w:r>
              <w:t xml:space="preserve">-0.447**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-0.300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(0.204)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(0.216)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log1p(powerOutage)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-0.198***</w:t>
            </w:r>
          </w:p>
        </w:tc>
        <w:tc>
          <w:tcPr/>
          <w:p>
            <w:pPr>
              <w:pStyle w:val="Compact"/>
            </w:pPr>
            <w:r>
              <w:t xml:space="preserve">-0.160**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(0.066)</w:t>
            </w:r>
          </w:p>
        </w:tc>
        <w:tc>
          <w:tcPr/>
          <w:p>
            <w:pPr>
              <w:pStyle w:val="Compact"/>
            </w:pPr>
            <w:r>
              <w:t xml:space="preserve">(0.070)</w:t>
            </w:r>
          </w:p>
        </w:tc>
      </w:tr>
      <w:tr>
        <w:tc>
          <w:tcPr/>
          <w:p>
            <w:pPr>
              <w:pStyle w:val="Compact"/>
            </w:pPr>
            <w:r>
              <w:t xml:space="preserve">Num.Obs.</w:t>
            </w:r>
          </w:p>
        </w:tc>
        <w:tc>
          <w:tcPr/>
          <w:p>
            <w:pPr>
              <w:pStyle w:val="Compact"/>
            </w:pPr>
            <w:r>
              <w:t xml:space="preserve">672</w:t>
            </w:r>
          </w:p>
        </w:tc>
        <w:tc>
          <w:tcPr/>
          <w:p>
            <w:pPr>
              <w:pStyle w:val="Compact"/>
            </w:pPr>
            <w:r>
              <w:t xml:space="preserve">672</w:t>
            </w:r>
          </w:p>
        </w:tc>
        <w:tc>
          <w:tcPr/>
          <w:p>
            <w:pPr>
              <w:pStyle w:val="Compact"/>
            </w:pPr>
            <w:r>
              <w:t xml:space="preserve">672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</w:t>
            </w:r>
          </w:p>
        </w:tc>
        <w:tc>
          <w:tcPr/>
          <w:p>
            <w:pPr>
              <w:pStyle w:val="Compact"/>
            </w:pPr>
            <w:r>
              <w:t xml:space="preserve">0.949</w:t>
            </w:r>
          </w:p>
        </w:tc>
        <w:tc>
          <w:tcPr/>
          <w:p>
            <w:pPr>
              <w:pStyle w:val="Compact"/>
            </w:pPr>
            <w:r>
              <w:t xml:space="preserve">0.949</w:t>
            </w:r>
          </w:p>
        </w:tc>
        <w:tc>
          <w:tcPr/>
          <w:p>
            <w:pPr>
              <w:pStyle w:val="Compact"/>
            </w:pPr>
            <w:r>
              <w:t xml:space="preserve">0.950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Adj.</w:t>
            </w:r>
          </w:p>
        </w:tc>
        <w:tc>
          <w:tcPr/>
          <w:p>
            <w:pPr>
              <w:pStyle w:val="Compact"/>
            </w:pPr>
            <w:r>
              <w:t xml:space="preserve">0.764</w:t>
            </w:r>
          </w:p>
        </w:tc>
        <w:tc>
          <w:tcPr/>
          <w:p>
            <w:pPr>
              <w:pStyle w:val="Compact"/>
            </w:pPr>
            <w:r>
              <w:t xml:space="preserve">0.768</w:t>
            </w:r>
          </w:p>
        </w:tc>
        <w:tc>
          <w:tcPr/>
          <w:p>
            <w:pPr>
              <w:pStyle w:val="Compact"/>
            </w:pPr>
            <w:r>
              <w:t xml:space="preserve">0.769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Within</w:t>
            </w:r>
          </w:p>
        </w:tc>
        <w:tc>
          <w:tcPr/>
          <w:p>
            <w:pPr>
              <w:pStyle w:val="Compact"/>
            </w:pPr>
            <w:r>
              <w:t xml:space="preserve">0.035</w:t>
            </w:r>
          </w:p>
        </w:tc>
        <w:tc>
          <w:tcPr/>
          <w:p>
            <w:pPr>
              <w:pStyle w:val="Compact"/>
            </w:pPr>
            <w:r>
              <w:t xml:space="preserve">0.050</w:t>
            </w:r>
          </w:p>
        </w:tc>
        <w:tc>
          <w:tcPr/>
          <w:p>
            <w:pPr>
              <w:pStyle w:val="Compact"/>
            </w:pPr>
            <w:r>
              <w:t xml:space="preserve">0.064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Within Adj.</w:t>
            </w:r>
          </w:p>
        </w:tc>
        <w:tc>
          <w:tcPr/>
          <w:p>
            <w:pPr>
              <w:pStyle w:val="Compact"/>
            </w:pPr>
            <w:r>
              <w:t xml:space="preserve">0.028</w:t>
            </w:r>
          </w:p>
        </w:tc>
        <w:tc>
          <w:tcPr/>
          <w:p>
            <w:pPr>
              <w:pStyle w:val="Compact"/>
            </w:pPr>
            <w:r>
              <w:t xml:space="preserve">0.043</w:t>
            </w:r>
          </w:p>
        </w:tc>
        <w:tc>
          <w:tcPr/>
          <w:p>
            <w:pPr>
              <w:pStyle w:val="Compact"/>
            </w:pPr>
            <w:r>
              <w:t xml:space="preserve">0.051</w:t>
            </w:r>
          </w:p>
        </w:tc>
      </w:tr>
      <w:tr>
        <w:tc>
          <w:tcPr/>
          <w:p>
            <w:pPr>
              <w:pStyle w:val="Compact"/>
            </w:pPr>
            <w:r>
              <w:t xml:space="preserve">AIC</w:t>
            </w:r>
          </w:p>
        </w:tc>
        <w:tc>
          <w:tcPr/>
          <w:p>
            <w:pPr>
              <w:pStyle w:val="Compact"/>
            </w:pPr>
            <w:r>
              <w:t xml:space="preserve">1814.6</w:t>
            </w:r>
          </w:p>
        </w:tc>
        <w:tc>
          <w:tcPr/>
          <w:p>
            <w:pPr>
              <w:pStyle w:val="Compact"/>
            </w:pPr>
            <w:r>
              <w:t xml:space="preserve">1804.1</w:t>
            </w:r>
          </w:p>
        </w:tc>
        <w:tc>
          <w:tcPr/>
          <w:p>
            <w:pPr>
              <w:pStyle w:val="Compact"/>
            </w:pPr>
            <w:r>
              <w:t xml:space="preserve">1796.1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BIC</w:t>
            </w:r>
          </w:p>
        </w:tc>
        <w:tc>
          <w:tcPr/>
          <w:p>
            <w:pPr>
              <w:pStyle w:val="Compact"/>
            </w:pPr>
            <w:r>
              <w:t xml:space="preserve">4187.0</w:t>
            </w:r>
          </w:p>
        </w:tc>
        <w:tc>
          <w:tcPr/>
          <w:p>
            <w:pPr>
              <w:pStyle w:val="Compact"/>
            </w:pPr>
            <w:r>
              <w:t xml:space="preserve">4176.5</w:t>
            </w:r>
          </w:p>
        </w:tc>
        <w:tc>
          <w:tcPr/>
          <w:p>
            <w:pPr>
              <w:pStyle w:val="Compact"/>
            </w:pPr>
            <w:r>
              <w:t xml:space="preserve">4173.0</w:t>
            </w:r>
          </w:p>
        </w:tc>
      </w:tr>
      <w:tr>
        <w:tc>
          <w:tcPr/>
          <w:p>
            <w:pPr>
              <w:pStyle w:val="Compact"/>
            </w:pPr>
            <w:r>
              <w:t xml:space="preserve">RMSE</w:t>
            </w:r>
          </w:p>
        </w:tc>
        <w:tc>
          <w:tcPr/>
          <w:p>
            <w:pPr>
              <w:pStyle w:val="Compact"/>
            </w:pPr>
            <w:r>
              <w:t xml:space="preserve">0.43</w:t>
            </w:r>
          </w:p>
        </w:tc>
        <w:tc>
          <w:tcPr/>
          <w:p>
            <w:pPr>
              <w:pStyle w:val="Compact"/>
            </w:pPr>
            <w:r>
              <w:t xml:space="preserve">0.42</w:t>
            </w:r>
          </w:p>
        </w:tc>
        <w:tc>
          <w:tcPr/>
          <w:p>
            <w:pPr>
              <w:pStyle w:val="Compact"/>
            </w:pPr>
            <w:r>
              <w:t xml:space="preserve">0.42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Std.Errors</w:t>
            </w:r>
          </w:p>
        </w:tc>
        <w:tc>
          <w:tcPr/>
          <w:p>
            <w:pPr>
              <w:pStyle w:val="Compact"/>
            </w:pPr>
            <w:r>
              <w:t xml:space="preserve">by: panelid</w:t>
            </w:r>
          </w:p>
        </w:tc>
        <w:tc>
          <w:tcPr/>
          <w:p>
            <w:pPr>
              <w:pStyle w:val="Compact"/>
            </w:pPr>
            <w:r>
              <w:t xml:space="preserve">by: panelid</w:t>
            </w:r>
          </w:p>
        </w:tc>
        <w:tc>
          <w:tcPr/>
          <w:p>
            <w:pPr>
              <w:pStyle w:val="Compact"/>
            </w:pPr>
            <w:r>
              <w:t xml:space="preserve">by: panelid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FE: panelid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FE: year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>
            <w:gridSpan w:val="4"/>
          </w:tcPr>
          <w:p>
            <w:pPr>
              <w:pStyle w:val="Compact"/>
              <w:numPr>
                <w:ilvl w:val="0"/>
                <w:numId w:val="1004"/>
              </w:numPr>
            </w:pPr>
            <w:r>
              <w:t xml:space="preserve">p &lt; 0.1, ** p &lt; 0.05, *** p &lt; 0.01</w:t>
            </w:r>
          </w:p>
        </w:tc>
      </w:tr>
    </w:tbl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31">
    <w:nsid w:val="00A99431"/>
    <w:multiLevelType w:val="multilevel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</w:lvl>
    <w:lvl w:ilvl="5">
      <w:start w:val="1"/>
      <w:numFmt w:val="decimal"/>
      <w:lvlText w:val="(%6)"/>
      <w:lvlJc w:val="left"/>
      <w:pPr>
        <w:ind w:left="4320" w:hanging="360"/>
      </w:pPr>
    </w:lvl>
    <w:lvl w:ilvl="6">
      <w:start w:val="1"/>
      <w:numFmt w:val="decimal"/>
      <w:lvlText w:val="(%7)"/>
      <w:lvlJc w:val="left"/>
      <w:pPr>
        <w:ind w:left="5040" w:hanging="360"/>
      </w:pPr>
    </w:lvl>
    <w:lvl w:ilvl="7">
      <w:start w:val="1"/>
      <w:numFmt w:val="decimal"/>
      <w:lvlText w:val="(%8)"/>
      <w:lvlJc w:val="left"/>
      <w:pPr>
        <w:ind w:left="5760" w:hanging="360"/>
      </w:pPr>
    </w:lvl>
    <w:lvl w:ilvl="8">
      <w:start w:val="1"/>
      <w:numFmt w:val="decimal"/>
      <w:lvlText w:val="(%9)"/>
      <w:lvlJc w:val="left"/>
      <w:pPr>
        <w:ind w:left="6480" w:hanging="360"/>
      </w:pPr>
    </w:lvl>
  </w:abstractNum>
  <w:abstractNum w:abstractNumId="99432">
    <w:nsid w:val="00A99432"/>
    <w:multiLevelType w:val="multilevel"/>
    <w:lvl w:ilvl="0">
      <w:start w:val="2"/>
      <w:numFmt w:val="decimal"/>
      <w:lvlText w:val="(%1)"/>
      <w:lvlJc w:val="left"/>
      <w:pPr>
        <w:ind w:left="720" w:hanging="360"/>
      </w:pPr>
    </w:lvl>
    <w:lvl w:ilvl="1">
      <w:start w:val="2"/>
      <w:numFmt w:val="decimal"/>
      <w:lvlText w:val="(%2)"/>
      <w:lvlJc w:val="left"/>
      <w:pPr>
        <w:ind w:left="1440" w:hanging="360"/>
      </w:pPr>
    </w:lvl>
    <w:lvl w:ilvl="2">
      <w:start w:val="2"/>
      <w:numFmt w:val="decimal"/>
      <w:lvlText w:val="(%3)"/>
      <w:lvlJc w:val="left"/>
      <w:pPr>
        <w:ind w:left="2160" w:hanging="360"/>
      </w:pPr>
    </w:lvl>
    <w:lvl w:ilvl="3">
      <w:start w:val="2"/>
      <w:numFmt w:val="decimal"/>
      <w:lvlText w:val="(%4)"/>
      <w:lvlJc w:val="left"/>
      <w:pPr>
        <w:ind w:left="2880" w:hanging="360"/>
      </w:pPr>
    </w:lvl>
    <w:lvl w:ilvl="4">
      <w:start w:val="2"/>
      <w:numFmt w:val="decimal"/>
      <w:lvlText w:val="(%5)"/>
      <w:lvlJc w:val="left"/>
      <w:pPr>
        <w:ind w:left="3600" w:hanging="360"/>
      </w:pPr>
    </w:lvl>
    <w:lvl w:ilvl="5">
      <w:start w:val="2"/>
      <w:numFmt w:val="decimal"/>
      <w:lvlText w:val="(%6)"/>
      <w:lvlJc w:val="left"/>
      <w:pPr>
        <w:ind w:left="4320" w:hanging="360"/>
      </w:pPr>
    </w:lvl>
    <w:lvl w:ilvl="6">
      <w:start w:val="2"/>
      <w:numFmt w:val="decimal"/>
      <w:lvlText w:val="(%7)"/>
      <w:lvlJc w:val="left"/>
      <w:pPr>
        <w:ind w:left="5040" w:hanging="360"/>
      </w:pPr>
    </w:lvl>
    <w:lvl w:ilvl="7">
      <w:start w:val="2"/>
      <w:numFmt w:val="decimal"/>
      <w:lvlText w:val="(%8)"/>
      <w:lvlJc w:val="left"/>
      <w:pPr>
        <w:ind w:left="5760" w:hanging="360"/>
      </w:pPr>
    </w:lvl>
    <w:lvl w:ilvl="8">
      <w:start w:val="2"/>
      <w:numFmt w:val="decimal"/>
      <w:lvlText w:val="(%9)"/>
      <w:lvlJc w:val="left"/>
      <w:pPr>
        <w:ind w:left="6480" w:hanging="360"/>
      </w:pPr>
    </w:lvl>
  </w:abstractNum>
  <w:abstractNum w:abstractNumId="99433">
    <w:nsid w:val="00A99433"/>
    <w:multiLevelType w:val="multilevel"/>
    <w:lvl w:ilvl="0">
      <w:start w:val="3"/>
      <w:numFmt w:val="decimal"/>
      <w:lvlText w:val="(%1)"/>
      <w:lvlJc w:val="left"/>
      <w:pPr>
        <w:ind w:left="720" w:hanging="360"/>
      </w:pPr>
    </w:lvl>
    <w:lvl w:ilvl="1">
      <w:start w:val="3"/>
      <w:numFmt w:val="decimal"/>
      <w:lvlText w:val="(%2)"/>
      <w:lvlJc w:val="left"/>
      <w:pPr>
        <w:ind w:left="1440" w:hanging="360"/>
      </w:pPr>
    </w:lvl>
    <w:lvl w:ilvl="2">
      <w:start w:val="3"/>
      <w:numFmt w:val="decimal"/>
      <w:lvlText w:val="(%3)"/>
      <w:lvlJc w:val="left"/>
      <w:pPr>
        <w:ind w:left="2160" w:hanging="360"/>
      </w:pPr>
    </w:lvl>
    <w:lvl w:ilvl="3">
      <w:start w:val="3"/>
      <w:numFmt w:val="decimal"/>
      <w:lvlText w:val="(%4)"/>
      <w:lvlJc w:val="left"/>
      <w:pPr>
        <w:ind w:left="2880" w:hanging="360"/>
      </w:pPr>
    </w:lvl>
    <w:lvl w:ilvl="4">
      <w:start w:val="3"/>
      <w:numFmt w:val="decimal"/>
      <w:lvlText w:val="(%5)"/>
      <w:lvlJc w:val="left"/>
      <w:pPr>
        <w:ind w:left="3600" w:hanging="360"/>
      </w:pPr>
    </w:lvl>
    <w:lvl w:ilvl="5">
      <w:start w:val="3"/>
      <w:numFmt w:val="decimal"/>
      <w:lvlText w:val="(%6)"/>
      <w:lvlJc w:val="left"/>
      <w:pPr>
        <w:ind w:left="4320" w:hanging="360"/>
      </w:pPr>
    </w:lvl>
    <w:lvl w:ilvl="6">
      <w:start w:val="3"/>
      <w:numFmt w:val="decimal"/>
      <w:lvlText w:val="(%7)"/>
      <w:lvlJc w:val="left"/>
      <w:pPr>
        <w:ind w:left="5040" w:hanging="360"/>
      </w:pPr>
    </w:lvl>
    <w:lvl w:ilvl="7">
      <w:start w:val="3"/>
      <w:numFmt w:val="decimal"/>
      <w:lvlText w:val="(%8)"/>
      <w:lvlJc w:val="left"/>
      <w:pPr>
        <w:ind w:left="5760" w:hanging="360"/>
      </w:pPr>
    </w:lvl>
    <w:lvl w:ilvl="8">
      <w:start w:val="3"/>
      <w:numFmt w:val="decimal"/>
      <w:lvlText w:val="(%9)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3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3">
    <w:abstractNumId w:val="9943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3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5D20C368A63478C6020C872927E3A" ma:contentTypeVersion="16" ma:contentTypeDescription="Create a new document." ma:contentTypeScope="" ma:versionID="b23aa81e40318af7c592d5b292a80d7a">
  <xsd:schema xmlns:xsd="http://www.w3.org/2001/XMLSchema" xmlns:xs="http://www.w3.org/2001/XMLSchema" xmlns:p="http://schemas.microsoft.com/office/2006/metadata/properties" xmlns:ns1="http://schemas.microsoft.com/sharepoint/v3" xmlns:ns2="0a94073c-2ee3-4257-a664-c36e62142433" xmlns:ns3="7961c080-277b-4f2e-a3cc-799eaa763439" targetNamespace="http://schemas.microsoft.com/office/2006/metadata/properties" ma:root="true" ma:fieldsID="ea4400089bfdeba0f8a57ead99a9ebac" ns1:_="" ns2:_="" ns3:_="">
    <xsd:import namespace="http://schemas.microsoft.com/sharepoint/v3"/>
    <xsd:import namespace="0a94073c-2ee3-4257-a664-c36e62142433"/>
    <xsd:import namespace="7961c080-277b-4f2e-a3cc-799eaa763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4073c-2ee3-4257-a664-c36e62142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1c080-277b-4f2e-a3cc-799eaa76343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c2887e3-85cd-41b3-8476-5bae7112afed}" ma:internalName="TaxCatchAll" ma:showField="CatchAllData" ma:web="7961c080-277b-4f2e-a3cc-799eaa7634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961c080-277b-4f2e-a3cc-799eaa763439" xsi:nil="true"/>
    <_ip_UnifiedCompliancePolicyProperties xmlns="http://schemas.microsoft.com/sharepoint/v3" xsi:nil="true"/>
    <lcf76f155ced4ddcb4097134ff3c332f xmlns="0a94073c-2ee3-4257-a664-c36e621424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066C85-AF19-41C4-BA71-85FEDE43254D}"/>
</file>

<file path=customXml/itemProps2.xml><?xml version="1.0" encoding="utf-8"?>
<ds:datastoreItem xmlns:ds="http://schemas.openxmlformats.org/officeDocument/2006/customXml" ds:itemID="{20463427-825B-44E0-9672-6969DBA13E5B}"/>
</file>

<file path=customXml/itemProps3.xml><?xml version="1.0" encoding="utf-8"?>
<ds:datastoreItem xmlns:ds="http://schemas.openxmlformats.org/officeDocument/2006/customXml" ds:itemID="{1A2384FC-3EE6-4208-9541-96134AC58F44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2026-02-12T16:03:40Z</dcterms:created>
  <dcterms:modified xsi:type="dcterms:W3CDTF">2026-02-12T16:03:40Z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0x01010051B5D20C368A63478C6020C872927E3A</vt:lpwstr>
  </property>
</Properties>
</file>